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FD" w:rsidRDefault="00117EFD" w:rsidP="00304FAC">
      <w:pPr>
        <w:tabs>
          <w:tab w:val="left" w:pos="1276"/>
        </w:tabs>
        <w:spacing w:after="0" w:line="360" w:lineRule="exact"/>
        <w:ind w:left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ПАСПОРТ</w:t>
      </w:r>
    </w:p>
    <w:p w:rsidR="007A5A08" w:rsidRDefault="00117EFD" w:rsidP="00304FAC">
      <w:pPr>
        <w:tabs>
          <w:tab w:val="left" w:pos="1276"/>
        </w:tabs>
        <w:spacing w:after="0" w:line="360" w:lineRule="exact"/>
        <w:ind w:left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</w:t>
      </w:r>
      <w:r w:rsidR="007A5A08" w:rsidRPr="007A5A08">
        <w:rPr>
          <w:rFonts w:ascii="Times New Roman" w:hAnsi="Times New Roman" w:cs="Times New Roman"/>
          <w:b/>
          <w:sz w:val="28"/>
        </w:rPr>
        <w:t>осударственн</w:t>
      </w:r>
      <w:r>
        <w:rPr>
          <w:rFonts w:ascii="Times New Roman" w:hAnsi="Times New Roman" w:cs="Times New Roman"/>
          <w:b/>
          <w:sz w:val="28"/>
        </w:rPr>
        <w:t xml:space="preserve">ой программы </w:t>
      </w:r>
      <w:r w:rsidR="007A5A08" w:rsidRPr="007A5A08">
        <w:rPr>
          <w:rFonts w:ascii="Times New Roman" w:hAnsi="Times New Roman" w:cs="Times New Roman"/>
          <w:b/>
          <w:sz w:val="28"/>
        </w:rPr>
        <w:t>Пермского края</w:t>
      </w:r>
      <w:r>
        <w:rPr>
          <w:rFonts w:ascii="Times New Roman" w:hAnsi="Times New Roman" w:cs="Times New Roman"/>
          <w:b/>
          <w:sz w:val="28"/>
        </w:rPr>
        <w:br/>
      </w:r>
      <w:r w:rsidR="007A5A08" w:rsidRPr="007A5A08">
        <w:rPr>
          <w:rFonts w:ascii="Times New Roman" w:hAnsi="Times New Roman" w:cs="Times New Roman"/>
          <w:b/>
          <w:sz w:val="28"/>
        </w:rPr>
        <w:t xml:space="preserve"> «Региональная политика и развитие территорий»</w:t>
      </w:r>
    </w:p>
    <w:p w:rsidR="007A5A08" w:rsidRPr="007A5A08" w:rsidRDefault="007A5A08" w:rsidP="007A5A08">
      <w:pPr>
        <w:tabs>
          <w:tab w:val="left" w:pos="1276"/>
        </w:tabs>
        <w:spacing w:line="360" w:lineRule="exact"/>
        <w:ind w:left="709"/>
        <w:jc w:val="center"/>
        <w:rPr>
          <w:rFonts w:ascii="Times New Roman" w:hAnsi="Times New Roman" w:cs="Times New Roman"/>
          <w:sz w:val="28"/>
        </w:rPr>
      </w:pPr>
    </w:p>
    <w:tbl>
      <w:tblPr>
        <w:tblW w:w="5287" w:type="pct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7792"/>
      </w:tblGrid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территориального развития Пермского края</w:t>
            </w:r>
          </w:p>
        </w:tc>
      </w:tr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по развитию территорий Кизеловского уг</w:t>
            </w:r>
            <w:bookmarkStart w:id="0" w:name="_GoBack"/>
            <w:bookmarkEnd w:id="0"/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ольного бассейна,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по делам Коми-Пермяцкого округа,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Пермского края,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и продовольствия Пермского края,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Пермского края</w:t>
            </w:r>
          </w:p>
        </w:tc>
      </w:tr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по развитию территорий Кизеловского угольного бассейна,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по делам Коми-Пермяцкого округа,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Пермского края,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и продовольствия Пермского края,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Пермского края</w:t>
            </w:r>
          </w:p>
        </w:tc>
      </w:tr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hyperlink r:id="rId5" w:history="1">
              <w:r w:rsidRPr="00117EFD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и поддержка местного самоуправления».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hyperlink r:id="rId6" w:history="1">
              <w:r w:rsidRPr="00117EFD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 «Оказание государственной поддержки органам местного самоуправления при реализации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образований».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hyperlink r:id="rId7" w:history="1">
              <w:r w:rsidRPr="00117EFD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 «Социально-экономическое развитие Коми-Пермяцкого округа».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hyperlink r:id="rId8" w:history="1">
              <w:r w:rsidRPr="00117EFD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реализации государственной программы».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hyperlink r:id="rId9" w:history="1">
              <w:r w:rsidRPr="00117EFD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территории Кизеловского угольного бассейна Пермского края».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hyperlink r:id="rId10" w:history="1">
              <w:r w:rsidRPr="00117EFD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 «Переселение жителей из труднодоступных и отдаленных населенных пунктов Пермского края, в том числе из поселков учреждений с особыми условиями хозяйственной деятельности уголовно-исполнительной системы».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hyperlink r:id="rId11" w:history="1">
              <w:r w:rsidRPr="00117EFD">
                <w:rPr>
                  <w:rFonts w:ascii="Times New Roman" w:hAnsi="Times New Roman" w:cs="Times New Roman"/>
                  <w:sz w:val="28"/>
                  <w:szCs w:val="28"/>
                </w:rPr>
                <w:t>Подпрограмма 7</w:t>
              </w:r>
            </w:hyperlink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 «Комплексный инвестиционный план модернизации города </w:t>
            </w:r>
            <w:proofErr w:type="spellStart"/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Чусового</w:t>
            </w:r>
            <w:proofErr w:type="spellEnd"/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 Пермского края»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8. Подпрограмма 8 «Развитие общественного самоуправления»</w:t>
            </w:r>
          </w:p>
        </w:tc>
      </w:tr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Программно-целевые инструменты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эффективного местного самоуправления и устойчивого социально-экономического развития муниципальных образований Пермского края</w:t>
            </w:r>
          </w:p>
        </w:tc>
      </w:tr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1. Создание эффективного муниципального управления.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2. Повышение уровня социально-экономического развития муниципальных образований.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3. Повышение финансовой обеспеченности муниципальных образований.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4. Реализация мероприятий по стабилизации социально-экономического положения в отдельных территориях Пермского края.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5. Повышение уровня социально-экономического развития Коми-Пермяцкого округа</w:t>
            </w:r>
          </w:p>
        </w:tc>
      </w:tr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1. Индекс обеспеченности бюджетов муниципальных районов, городских округов (собственные доходы бюджетов муниципальных районов, городских округов / текущие расходы бюджетов) 1,44.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 xml:space="preserve">2. Увеличение доли налоговых, неналоговых доходов </w:t>
            </w:r>
            <w:r w:rsidRPr="00117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консолидированных бюджетов муниципальных районов и городских округов в общем объеме доходов консолидированных бюджетов муниципальных районов и городских округов (без субвенций) до 64,44%.</w:t>
            </w:r>
          </w:p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3. Количество лиц, замещающих выборные муниципальные должности, муниципальных служащих и работников муниципальных учреждений, повысивших квалификацию в рамках реализации Программы, ежегодно не менее 1400 человек</w:t>
            </w:r>
          </w:p>
        </w:tc>
      </w:tr>
      <w:tr w:rsidR="007A5A08" w:rsidRPr="00117EFD" w:rsidTr="00117EFD">
        <w:tc>
          <w:tcPr>
            <w:tcW w:w="1129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387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117EFD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EFD">
              <w:rPr>
                <w:rFonts w:ascii="Times New Roman" w:hAnsi="Times New Roman" w:cs="Times New Roman"/>
                <w:sz w:val="28"/>
                <w:szCs w:val="28"/>
              </w:rPr>
              <w:t>Программа рассчитана на период с 2014 по 2017 годы. Программа не имеет строгой разбивки на этапы, мероприятия реализуются на протяжении всего срока реализации Программы</w:t>
            </w:r>
          </w:p>
        </w:tc>
      </w:tr>
    </w:tbl>
    <w:p w:rsidR="007A5A08" w:rsidRDefault="007A5A08" w:rsidP="007A5A08">
      <w:pPr>
        <w:spacing w:line="360" w:lineRule="exact"/>
        <w:rPr>
          <w:rFonts w:ascii="Times New Roman" w:hAnsi="Times New Roman" w:cs="Times New Roman"/>
        </w:rPr>
      </w:pPr>
    </w:p>
    <w:p w:rsidR="007A5A08" w:rsidRDefault="007A5A08" w:rsidP="007A5A08">
      <w:pPr>
        <w:spacing w:line="360" w:lineRule="exact"/>
        <w:rPr>
          <w:rFonts w:ascii="Times New Roman" w:hAnsi="Times New Roman" w:cs="Times New Roman"/>
        </w:rPr>
      </w:pPr>
    </w:p>
    <w:p w:rsidR="007A5A08" w:rsidRDefault="007A5A08" w:rsidP="007A5A08">
      <w:pPr>
        <w:spacing w:line="360" w:lineRule="exact"/>
        <w:rPr>
          <w:rFonts w:ascii="Times New Roman" w:hAnsi="Times New Roman" w:cs="Times New Roman"/>
        </w:rPr>
      </w:pPr>
    </w:p>
    <w:p w:rsidR="007A5A08" w:rsidRPr="007A5A08" w:rsidRDefault="007A5A08" w:rsidP="007A5A08">
      <w:pPr>
        <w:spacing w:line="360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03"/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68"/>
        <w:gridCol w:w="549"/>
        <w:gridCol w:w="3036"/>
        <w:gridCol w:w="747"/>
        <w:gridCol w:w="549"/>
        <w:gridCol w:w="397"/>
        <w:gridCol w:w="372"/>
        <w:gridCol w:w="412"/>
        <w:gridCol w:w="412"/>
        <w:gridCol w:w="329"/>
        <w:gridCol w:w="330"/>
        <w:gridCol w:w="329"/>
        <w:gridCol w:w="1186"/>
      </w:tblGrid>
      <w:tr w:rsidR="007A5A08" w:rsidRPr="007A5A08" w:rsidTr="007A5A08">
        <w:tc>
          <w:tcPr>
            <w:tcW w:w="1383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Целевые показатели Программы</w:t>
            </w:r>
          </w:p>
        </w:tc>
        <w:tc>
          <w:tcPr>
            <w:tcW w:w="0" w:type="auto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A5A08">
              <w:rPr>
                <w:rFonts w:ascii="Times New Roman" w:hAnsi="Times New Roman" w:cs="Times New Roman"/>
              </w:rPr>
              <w:t>п</w:t>
            </w:r>
            <w:proofErr w:type="gramEnd"/>
            <w:r w:rsidRPr="007A5A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0" w:type="auto"/>
            <w:gridSpan w:val="9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Плановое значение целевого показателя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2017 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1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Государственная программа «Региональная политика и развитие территорий»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Индекс обеспеченности бюджетов муниципальных районов, городских округов (собственные доходы бюджетов муниципальных районов, городских округов / текущие расходы бюджетов)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1,44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Количество лиц, замещающих выборные муниципальные должности, муниципальных служащих и работников муниципальных учреждений, повысивших квалификацию в </w:t>
            </w:r>
            <w:r w:rsidRPr="007A5A08">
              <w:rPr>
                <w:rFonts w:ascii="Times New Roman" w:hAnsi="Times New Roman" w:cs="Times New Roman"/>
              </w:rPr>
              <w:lastRenderedPageBreak/>
              <w:t>рамках реализации Программы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1 915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1 600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1 400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1 400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1 400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Доля налоговых, неналоговых доходов консолидированных бюджетов муниципальных районов и городских округов в общем объеме доходов консолидированных бюджетов муниципальных районов и городских округов (без субвенций)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60,95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62,70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64,44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64,44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64,44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gridSpan w:val="1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Подпрограмма 1 «Развитие и поддержка местного самоуправления»</w:t>
            </w:r>
          </w:p>
        </w:tc>
      </w:tr>
      <w:tr w:rsidR="007A5A08" w:rsidRPr="007A5A08" w:rsidTr="007A5A08">
        <w:trPr>
          <w:trHeight w:val="1104"/>
        </w:trPr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муниципальных образований Пермского края, вступивших в процессы преобразований муниципальных образований Пермского края (нарастающим итогом)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78</w:t>
            </w:r>
          </w:p>
        </w:tc>
      </w:tr>
      <w:tr w:rsidR="007A5A08" w:rsidRPr="007A5A08" w:rsidTr="007A5A08">
        <w:trPr>
          <w:trHeight w:val="1104"/>
        </w:trPr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A5A08">
              <w:rPr>
                <w:rFonts w:ascii="Times New Roman" w:hAnsi="Times New Roman" w:cs="Times New Roman"/>
              </w:rPr>
              <w:t>Доля поселений, передавших на основе соглашений полномочия (часть полномочий) по решению 10 и более вопросов местного значения на уровень муниципальных районов (от базового количества поселений в 2013 г.)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</w:tr>
      <w:tr w:rsidR="007A5A08" w:rsidRPr="007A5A08" w:rsidTr="007A5A08">
        <w:trPr>
          <w:trHeight w:val="1104"/>
        </w:trPr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проведенных выездных заседаний Совета глав муниципальных районов и городских округов при губернаторе Пермского края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</w:t>
            </w:r>
          </w:p>
        </w:tc>
      </w:tr>
      <w:tr w:rsidR="007A5A08" w:rsidRPr="007A5A08" w:rsidTr="007A5A08">
        <w:trPr>
          <w:trHeight w:val="1104"/>
        </w:trPr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проведенных конкурсов муниципальных районов и деятельности глав муниципальных районов и городских округов Пермского края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Количество муниципальных образований, подавших заявки на участие в конкурсе «Самое благоустроенное </w:t>
            </w:r>
            <w:r w:rsidRPr="007A5A08">
              <w:rPr>
                <w:rFonts w:ascii="Times New Roman" w:hAnsi="Times New Roman" w:cs="Times New Roman"/>
              </w:rPr>
              <w:lastRenderedPageBreak/>
              <w:t>городское (сельское) поселение Пермского края»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55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Доля муниципальных образований, включенных в систему общественного контроля качества предоставления муниципальных услуг и имеющих оценки населением на официальном сайте системы в информационно-телекоммуникационной сети «Интернет» (http:/kontroluslug.permkrai.ru/)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Внедрена новая Методика расчета нормативов на формирование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Пермского края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муниципальных образований, перешедших на программно-целевой метод управления на основе муниципальных программ и формирование программной структуры бюджета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170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муниципальных районов (городских округов), разработавших стратегию социально-экономического развития муниципального образования в соответствии с Федеральным Законом от 28июня 2014 года № 172-ФЗ «О стратегическом планировании в Российской Федерации».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48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муниципальных районов (городских округов), разработавших план мероприятий по реализации стратегии социально-экономического развития муниципального образования в соответствии с Федеральным Законом от 28 июня 2014 года № 172-ФЗ</w:t>
            </w:r>
          </w:p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«О стратегическом планировании в Российской Федерации»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48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Доля расходов на содержание органов местного самоуправления Пермского края в общем объеме расходов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0" w:type="auto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6,5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gridSpan w:val="1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Подпрограмма 2 «Оказание государственной поддержки органам местного самоуправления при реализации 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 »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Процент освоения субсидий, предоставленных органам местного самоуправления на реализацию </w:t>
            </w:r>
            <w:r w:rsidRPr="007A5A0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7A5A08">
              <w:rPr>
                <w:rFonts w:ascii="Times New Roman" w:hAnsi="Times New Roman" w:cs="Times New Roman"/>
                <w:color w:val="333333"/>
              </w:rPr>
              <w:t>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Pr="007A5A08">
              <w:rPr>
                <w:rFonts w:ascii="Times New Roman" w:hAnsi="Times New Roman" w:cs="Times New Roman"/>
              </w:rPr>
              <w:t xml:space="preserve"> (утверждено постановлениями Правительства Пермского края от годовых ассигнований)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90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Процент освоения субсидий, предоставленных органам местного самоуправления на реализацию </w:t>
            </w:r>
            <w:r w:rsidRPr="007A5A08">
              <w:rPr>
                <w:rFonts w:ascii="Times New Roman" w:hAnsi="Times New Roman" w:cs="Times New Roman"/>
                <w:color w:val="333333"/>
              </w:rPr>
              <w:t xml:space="preserve">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Pr="007A5A08">
              <w:rPr>
                <w:rFonts w:ascii="Times New Roman" w:hAnsi="Times New Roman" w:cs="Times New Roman"/>
              </w:rPr>
              <w:t xml:space="preserve"> (перечислено в муниципальные бюджеты от объемов субсидий, </w:t>
            </w:r>
            <w:r w:rsidRPr="007A5A08">
              <w:rPr>
                <w:rFonts w:ascii="Times New Roman" w:hAnsi="Times New Roman" w:cs="Times New Roman"/>
              </w:rPr>
              <w:lastRenderedPageBreak/>
              <w:t>утвержденных постановлениями Правительства Пермского края)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95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gridSpan w:val="1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Подпрограмма 3 «Социально-экономическое развитие Коми-Пермяцкого округа»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Темп сокращения численности населения Коми-Пермяцкого округа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5A08">
              <w:rPr>
                <w:rFonts w:ascii="Times New Roman" w:hAnsi="Times New Roman" w:cs="Times New Roman"/>
              </w:rPr>
              <w:t>1,</w:t>
            </w:r>
            <w:r w:rsidRPr="007A5A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5A08">
              <w:rPr>
                <w:rFonts w:ascii="Times New Roman" w:hAnsi="Times New Roman" w:cs="Times New Roman"/>
              </w:rPr>
              <w:t>1,</w:t>
            </w:r>
            <w:r w:rsidRPr="007A5A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1,2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Средняя заработная плата, начисленная на одного работающего в Коми-Пермяцком округе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5A08">
              <w:rPr>
                <w:rFonts w:ascii="Times New Roman" w:hAnsi="Times New Roman" w:cs="Times New Roman"/>
                <w:lang w:val="en-US"/>
              </w:rPr>
              <w:t>17 516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5A08">
              <w:rPr>
                <w:rFonts w:ascii="Times New Roman" w:hAnsi="Times New Roman" w:cs="Times New Roman"/>
                <w:lang w:val="en-US"/>
              </w:rPr>
              <w:t>19 443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21 582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22 000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23 100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Инвестиции в социально-экономическое развитие Коми-Пермяцкого округа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млрд. руб.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1,0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gridSpan w:val="1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Подпрограмма 5 «Развитие территорий Кизеловского угольного бассейна Пермского края»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Количество семей, переселенных в пустующие жилые помещения муниципального жилого фонда муниципальных образований, входящих в </w:t>
            </w:r>
            <w:proofErr w:type="spellStart"/>
            <w:r w:rsidRPr="007A5A08">
              <w:rPr>
                <w:rFonts w:ascii="Times New Roman" w:hAnsi="Times New Roman" w:cs="Times New Roman"/>
              </w:rPr>
              <w:t>Кизеловский</w:t>
            </w:r>
            <w:proofErr w:type="spellEnd"/>
            <w:r w:rsidRPr="007A5A08">
              <w:rPr>
                <w:rFonts w:ascii="Times New Roman" w:hAnsi="Times New Roman" w:cs="Times New Roman"/>
              </w:rPr>
              <w:t xml:space="preserve"> угольный бассейн, после приведения их в нормативное состояние (ежегодно)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27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Общая площадь пустующих жилых помещений муниципального жилищного фонда муниципальных образований, входящих в </w:t>
            </w:r>
            <w:proofErr w:type="spellStart"/>
            <w:r w:rsidRPr="007A5A08">
              <w:rPr>
                <w:rFonts w:ascii="Times New Roman" w:hAnsi="Times New Roman" w:cs="Times New Roman"/>
              </w:rPr>
              <w:t>Кизеловский</w:t>
            </w:r>
            <w:proofErr w:type="spellEnd"/>
            <w:r w:rsidRPr="007A5A08">
              <w:rPr>
                <w:rFonts w:ascii="Times New Roman" w:hAnsi="Times New Roman" w:cs="Times New Roman"/>
              </w:rPr>
              <w:t xml:space="preserve"> угольный бассейн, подлежащих заселению, в которых проведен капитальный ремонт (ежегодно)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2 600,0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1 867,5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3 266,7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1 770,4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gridSpan w:val="1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Подпрограмма 6 «Переселение жителей из труднодоступных и отдаленных населенных пунктов Пермского края, в том числе из поселков учреждений с </w:t>
            </w:r>
            <w:r w:rsidRPr="007A5A08">
              <w:rPr>
                <w:rFonts w:ascii="Times New Roman" w:hAnsi="Times New Roman" w:cs="Times New Roman"/>
              </w:rPr>
              <w:lastRenderedPageBreak/>
              <w:t>особыми условиями хозяйственной деятельности уголовно-исполнительной системы»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человек, переселенных из труднодоступных и отдаленных населенных пунктов Пермского края, в том числе из поселков учреждений с особыми условиями хозяйственной деятельности уголовно-исполнительной системы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семей, переселенных из труднодоступных и отдаленных населенных пунктов Пермского края, в том числе из поселков учреждений с особыми условиями хозяйственной деятельности уголовно-исполнительной системы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Объем жилья, введенного в эксплуатацию (приобретенного) с целью заселения граждан из труднодоступных и отдаленных населенных пунктов Пермского края, в том числе из поселков учреждений с особыми условиями хозяйственной деятельности уголовно-исполнительной системы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452,66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-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gridSpan w:val="1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Подпрограмма 7 «Комплексный инвестиционный план модернизации города </w:t>
            </w:r>
            <w:proofErr w:type="spellStart"/>
            <w:r w:rsidRPr="007A5A08">
              <w:rPr>
                <w:rFonts w:ascii="Times New Roman" w:hAnsi="Times New Roman" w:cs="Times New Roman"/>
              </w:rPr>
              <w:t>Чусового</w:t>
            </w:r>
            <w:proofErr w:type="spellEnd"/>
            <w:r w:rsidRPr="007A5A08">
              <w:rPr>
                <w:rFonts w:ascii="Times New Roman" w:hAnsi="Times New Roman" w:cs="Times New Roman"/>
              </w:rPr>
              <w:t>»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Уровень зарегистрированной безработицы в Чусовском городском поселении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2,0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Среднемесячная заработная плата работников крупных и </w:t>
            </w:r>
            <w:r w:rsidRPr="007A5A08">
              <w:rPr>
                <w:rFonts w:ascii="Times New Roman" w:hAnsi="Times New Roman" w:cs="Times New Roman"/>
              </w:rPr>
              <w:lastRenderedPageBreak/>
              <w:t>средних предприятий в Чусовском городском поселении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lastRenderedPageBreak/>
              <w:t>руб.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23 </w:t>
            </w:r>
            <w:r w:rsidRPr="007A5A08">
              <w:rPr>
                <w:rFonts w:ascii="Times New Roman" w:hAnsi="Times New Roman" w:cs="Times New Roman"/>
              </w:rPr>
              <w:lastRenderedPageBreak/>
              <w:t>334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lastRenderedPageBreak/>
              <w:t>24 757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25 000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26 </w:t>
            </w:r>
            <w:r w:rsidRPr="007A5A08">
              <w:rPr>
                <w:rFonts w:ascii="Times New Roman" w:hAnsi="Times New Roman" w:cs="Times New Roman"/>
              </w:rPr>
              <w:lastRenderedPageBreak/>
              <w:t>000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lastRenderedPageBreak/>
              <w:t>26 600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Доля малых предприятий в общегородском объеме отгруженных товаров собственного производства организаций в Чусовском городском поселении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1,60</w:t>
            </w:r>
          </w:p>
        </w:tc>
      </w:tr>
      <w:tr w:rsidR="007A5A08" w:rsidRPr="007A5A08" w:rsidTr="007A5A08">
        <w:tc>
          <w:tcPr>
            <w:tcW w:w="138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Доля продукции градообразующего предприятия в общегородском объеме отгруженных товаров, выполненных работ и услуг собственного производства в Чусовском городском поселении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66</w:t>
            </w:r>
          </w:p>
        </w:tc>
      </w:tr>
      <w:tr w:rsidR="007A5A08" w:rsidRPr="007A5A08" w:rsidTr="007A5A08">
        <w:tc>
          <w:tcPr>
            <w:tcW w:w="138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0" w:type="auto"/>
            <w:gridSpan w:val="1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Подпрограмма 8 «Развитие общественного самоуправления»</w:t>
            </w:r>
          </w:p>
        </w:tc>
      </w:tr>
      <w:tr w:rsidR="007A5A08" w:rsidRPr="007A5A08" w:rsidTr="007A5A08">
        <w:tc>
          <w:tcPr>
            <w:tcW w:w="138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органов территориального общественного самоуправления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259,2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274,9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296,8</w:t>
            </w:r>
          </w:p>
        </w:tc>
      </w:tr>
      <w:tr w:rsidR="007A5A08" w:rsidRPr="007A5A08" w:rsidTr="007A5A08">
        <w:tc>
          <w:tcPr>
            <w:tcW w:w="138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реализованных проектов территориального общественного самоуправления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120</w:t>
            </w:r>
          </w:p>
        </w:tc>
      </w:tr>
      <w:tr w:rsidR="007A5A08" w:rsidRPr="007A5A08" w:rsidTr="007A5A08">
        <w:tc>
          <w:tcPr>
            <w:tcW w:w="138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обученных участников территориального общественного самоуправления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900</w:t>
            </w:r>
          </w:p>
        </w:tc>
      </w:tr>
      <w:tr w:rsidR="007A5A08" w:rsidRPr="007A5A08" w:rsidTr="007A5A08">
        <w:tc>
          <w:tcPr>
            <w:tcW w:w="138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Количество обученных муниципальных служащих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900</w:t>
            </w:r>
          </w:p>
        </w:tc>
      </w:tr>
      <w:tr w:rsidR="007A5A08" w:rsidRPr="007A5A08" w:rsidTr="007A5A08">
        <w:tc>
          <w:tcPr>
            <w:tcW w:w="138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 xml:space="preserve">Количество материалов в средствах массовой информации, в информационно-телекоммуникационной сети </w:t>
            </w:r>
            <w:r w:rsidRPr="007A5A08">
              <w:rPr>
                <w:rFonts w:ascii="Times New Roman" w:hAnsi="Times New Roman" w:cs="Times New Roman"/>
              </w:rPr>
              <w:lastRenderedPageBreak/>
              <w:t>«Интернет»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36</w:t>
            </w:r>
          </w:p>
        </w:tc>
      </w:tr>
      <w:tr w:rsidR="007A5A08" w:rsidRPr="007A5A08" w:rsidTr="007A5A08">
        <w:tc>
          <w:tcPr>
            <w:tcW w:w="138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Доля граждан, принявших участие в местном референдуме по вопросу введения самообложения граждан в поселениях муниципальных районов Пермского края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0" w:type="auto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0" w:type="auto"/>
            <w:gridSpan w:val="2"/>
          </w:tcPr>
          <w:p w:rsidR="007A5A08" w:rsidRPr="007A5A08" w:rsidRDefault="007A5A08" w:rsidP="00C81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5A08">
              <w:rPr>
                <w:rFonts w:ascii="Times New Roman" w:hAnsi="Times New Roman" w:cs="Times New Roman"/>
              </w:rPr>
              <w:t>4,1</w:t>
            </w:r>
          </w:p>
        </w:tc>
      </w:tr>
    </w:tbl>
    <w:p w:rsidR="007A5A08" w:rsidRPr="007A5A08" w:rsidRDefault="007A5A08" w:rsidP="007A5A08">
      <w:pPr>
        <w:spacing w:line="360" w:lineRule="exact"/>
        <w:rPr>
          <w:rFonts w:ascii="Times New Roman" w:hAnsi="Times New Roman" w:cs="Times New Roman"/>
        </w:rPr>
      </w:pPr>
    </w:p>
    <w:tbl>
      <w:tblPr>
        <w:tblW w:w="10349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76"/>
        <w:gridCol w:w="1559"/>
        <w:gridCol w:w="1418"/>
        <w:gridCol w:w="1417"/>
        <w:gridCol w:w="1418"/>
      </w:tblGrid>
      <w:tr w:rsidR="007A5A08" w:rsidRPr="007A5A08" w:rsidTr="007A5A08">
        <w:trPr>
          <w:trHeight w:val="330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Объемы и источники финансирования Программы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Источники финансирования</w:t>
            </w:r>
          </w:p>
        </w:tc>
        <w:tc>
          <w:tcPr>
            <w:tcW w:w="7088" w:type="dxa"/>
            <w:gridSpan w:val="5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7A5A08" w:rsidRPr="007A5A08" w:rsidTr="007A5A08">
        <w:trPr>
          <w:trHeight w:val="330"/>
        </w:trPr>
        <w:tc>
          <w:tcPr>
            <w:tcW w:w="1560" w:type="dxa"/>
            <w:vMerge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</w:tr>
      <w:tr w:rsidR="007A5A08" w:rsidRPr="007A5A08" w:rsidTr="007A5A08">
        <w:trPr>
          <w:trHeight w:val="315"/>
        </w:trPr>
        <w:tc>
          <w:tcPr>
            <w:tcW w:w="1560" w:type="dxa"/>
            <w:vMerge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Всего,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8 754 498,5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19 211 907,0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18 902 911,3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14 135 430,4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61 004 747,2</w:t>
            </w:r>
          </w:p>
        </w:tc>
      </w:tr>
      <w:tr w:rsidR="007A5A08" w:rsidRPr="007A5A08" w:rsidTr="007A5A08">
        <w:trPr>
          <w:trHeight w:val="330"/>
        </w:trPr>
        <w:tc>
          <w:tcPr>
            <w:tcW w:w="1560" w:type="dxa"/>
            <w:vMerge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</w:tr>
      <w:tr w:rsidR="007A5A08" w:rsidRPr="007A5A08" w:rsidTr="007A5A08">
        <w:trPr>
          <w:trHeight w:val="330"/>
        </w:trPr>
        <w:tc>
          <w:tcPr>
            <w:tcW w:w="1560" w:type="dxa"/>
            <w:vMerge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2 003 538,6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1 743 472,6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1 950 831,5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2 110 377,6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7 808 220,3</w:t>
            </w:r>
          </w:p>
        </w:tc>
      </w:tr>
      <w:tr w:rsidR="007A5A08" w:rsidRPr="007A5A08" w:rsidTr="007A5A08">
        <w:trPr>
          <w:trHeight w:val="645"/>
        </w:trPr>
        <w:tc>
          <w:tcPr>
            <w:tcW w:w="1560" w:type="dxa"/>
            <w:vMerge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178 687,5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35 557,2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19 992,3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234 237,0</w:t>
            </w:r>
          </w:p>
        </w:tc>
      </w:tr>
      <w:tr w:rsidR="007A5A08" w:rsidRPr="007A5A08" w:rsidTr="007A5A08">
        <w:trPr>
          <w:trHeight w:val="330"/>
        </w:trPr>
        <w:tc>
          <w:tcPr>
            <w:tcW w:w="1560" w:type="dxa"/>
            <w:vMerge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бюджет ОМСУ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969 272,4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709 721,0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803 931,3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381 746,6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2 864 671,3</w:t>
            </w:r>
          </w:p>
        </w:tc>
      </w:tr>
      <w:tr w:rsidR="007A5A08" w:rsidRPr="007A5A08" w:rsidTr="007A5A08">
        <w:trPr>
          <w:trHeight w:val="645"/>
        </w:trPr>
        <w:tc>
          <w:tcPr>
            <w:tcW w:w="1560" w:type="dxa"/>
            <w:vMerge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5 603 000,0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16 723 156,2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16 128 156,2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11 643 306,2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5A08" w:rsidRPr="007A5A08" w:rsidRDefault="007A5A08" w:rsidP="00C819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A08">
              <w:rPr>
                <w:rFonts w:ascii="Times New Roman" w:hAnsi="Times New Roman" w:cs="Times New Roman"/>
                <w:color w:val="000000"/>
              </w:rPr>
              <w:t>50 097 618,6</w:t>
            </w:r>
          </w:p>
        </w:tc>
      </w:tr>
    </w:tbl>
    <w:p w:rsidR="007A5A08" w:rsidRPr="007A5A08" w:rsidRDefault="007A5A08" w:rsidP="007A5A08">
      <w:pPr>
        <w:spacing w:line="360" w:lineRule="exact"/>
        <w:rPr>
          <w:rFonts w:ascii="Times New Roman" w:hAnsi="Times New Roman" w:cs="Times New Roman"/>
        </w:rPr>
      </w:pPr>
    </w:p>
    <w:p w:rsidR="00935476" w:rsidRPr="007A5A08" w:rsidRDefault="00935476">
      <w:pPr>
        <w:rPr>
          <w:rFonts w:ascii="Times New Roman" w:hAnsi="Times New Roman" w:cs="Times New Roman"/>
        </w:rPr>
      </w:pPr>
    </w:p>
    <w:sectPr w:rsidR="00935476" w:rsidRPr="007A5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A08"/>
    <w:rsid w:val="00117EFD"/>
    <w:rsid w:val="00304FAC"/>
    <w:rsid w:val="007A5A08"/>
    <w:rsid w:val="0093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240E15549C330D686319D34DE3B38FE4A5B3B1D694D35D118763106511640DA4C23DC8115B2FFFA946F0i0lF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240E15549C330D686319D34DE3B38FE4A5B3B1D694D35D118763106511640DA4C23DC8115B2FFFA948F3i0lC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240E15549C330D686319D34DE3B38FE4A5B3B1D694D35D118763106511640DA4C23DC8115B2FFFA94BF3i0lBF" TargetMode="External"/><Relationship Id="rId11" Type="http://schemas.openxmlformats.org/officeDocument/2006/relationships/hyperlink" Target="consultantplus://offline/ref=71240E15549C330D686319D34DE3B38FE4A5B3B1D694D35D118763106511640DA4C23DC8115B2FFFA84EF2i0l9F" TargetMode="External"/><Relationship Id="rId5" Type="http://schemas.openxmlformats.org/officeDocument/2006/relationships/hyperlink" Target="consultantplus://offline/ref=71240E15549C330D686319D34DE3B38FE4A5B3B1D694D35D118763106511640DA4C23DC8115B2FFFA94DF2i0l9F" TargetMode="External"/><Relationship Id="rId10" Type="http://schemas.openxmlformats.org/officeDocument/2006/relationships/hyperlink" Target="consultantplus://offline/ref=71240E15549C330D686319D34DE3B38FE4A5B3B1D694D35D118763106511640DA4C23DC8115B2FFFA947F0i0l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40E15549C330D686319D34DE3B38FE4A5B3B1D694D35D118763106511640DA4C23DC8115B2FFFA946F1i0l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Леготкина Лариса Николаевна</dc:creator>
  <cp:lastModifiedBy>Петрова Наталья Павловна</cp:lastModifiedBy>
  <cp:revision>3</cp:revision>
  <cp:lastPrinted>2014-09-30T02:00:00Z</cp:lastPrinted>
  <dcterms:created xsi:type="dcterms:W3CDTF">2014-09-29T05:09:00Z</dcterms:created>
  <dcterms:modified xsi:type="dcterms:W3CDTF">2014-09-30T02:00:00Z</dcterms:modified>
</cp:coreProperties>
</file>